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87983" w14:textId="77777777" w:rsidR="00DC5ECD" w:rsidRPr="00A11678" w:rsidRDefault="00DC5ECD" w:rsidP="00DC5ECD">
      <w:pPr>
        <w:spacing w:after="0" w:line="240" w:lineRule="auto"/>
        <w:ind w:left="-426" w:right="-994"/>
        <w:jc w:val="both"/>
        <w:rPr>
          <w:rFonts w:ascii="Arial Narrow" w:hAnsi="Arial Narrow"/>
        </w:rPr>
      </w:pPr>
      <w:r w:rsidRPr="00A11678">
        <w:rPr>
          <w:rFonts w:ascii="Arial Narrow" w:hAnsi="Arial Narrow"/>
        </w:rPr>
        <w:t>AL AYUNTAMIENTO DE HUELVA</w:t>
      </w:r>
    </w:p>
    <w:p w14:paraId="32EA9A9D" w14:textId="77777777" w:rsidR="00DC5ECD" w:rsidRPr="00A11678" w:rsidRDefault="00DC5ECD" w:rsidP="00DC5ECD">
      <w:pPr>
        <w:spacing w:after="0" w:line="240" w:lineRule="auto"/>
        <w:ind w:left="-426" w:right="-994"/>
        <w:jc w:val="both"/>
        <w:rPr>
          <w:rFonts w:ascii="Arial Narrow" w:hAnsi="Arial Narrow"/>
        </w:rPr>
      </w:pPr>
      <w:r w:rsidRPr="00A11678">
        <w:rPr>
          <w:rFonts w:ascii="Arial Narrow" w:hAnsi="Arial Narrow"/>
        </w:rPr>
        <w:t>ÁREA DE URBANISMO</w:t>
      </w:r>
    </w:p>
    <w:p w14:paraId="1624BB01" w14:textId="29AF69CC" w:rsidR="00DC5ECD" w:rsidRPr="00A11678" w:rsidRDefault="00E67CBD" w:rsidP="00DC5ECD">
      <w:pPr>
        <w:spacing w:after="0" w:line="240" w:lineRule="auto"/>
        <w:ind w:left="-426" w:right="-994"/>
        <w:jc w:val="both"/>
        <w:rPr>
          <w:rFonts w:ascii="Arial Narrow" w:hAnsi="Arial Narrow"/>
        </w:rPr>
      </w:pPr>
      <w:r w:rsidRPr="00A11678">
        <w:rPr>
          <w:rFonts w:ascii="Arial Narrow" w:hAnsi="Arial Narrow"/>
          <w:u w:val="single"/>
        </w:rPr>
        <w:t>Asunto:</w:t>
      </w:r>
      <w:r w:rsidRPr="00A11678">
        <w:rPr>
          <w:rFonts w:ascii="Arial Narrow" w:hAnsi="Arial Narrow"/>
        </w:rPr>
        <w:t xml:space="preserve"> Alegaciones </w:t>
      </w:r>
      <w:r w:rsidR="00DC5ECD" w:rsidRPr="00A11678">
        <w:rPr>
          <w:rFonts w:ascii="Arial Narrow" w:hAnsi="Arial Narrow"/>
        </w:rPr>
        <w:t>AVANCE DEL PGOM DE HUELVA</w:t>
      </w:r>
    </w:p>
    <w:p w14:paraId="6D3A54F8" w14:textId="77777777" w:rsidR="00DC5ECD" w:rsidRPr="00A11678" w:rsidRDefault="00DC5ECD" w:rsidP="00DC5ECD">
      <w:pPr>
        <w:spacing w:after="0" w:line="240" w:lineRule="auto"/>
        <w:ind w:left="-426" w:right="-994"/>
        <w:jc w:val="both"/>
        <w:rPr>
          <w:rFonts w:ascii="Arial Narrow" w:hAnsi="Arial Narrow"/>
        </w:rPr>
      </w:pPr>
    </w:p>
    <w:p w14:paraId="1328C247" w14:textId="77777777" w:rsidR="00A11678" w:rsidRDefault="00A11678" w:rsidP="00DC5ECD">
      <w:pPr>
        <w:spacing w:after="0" w:line="240" w:lineRule="auto"/>
        <w:ind w:left="-426" w:right="-994"/>
        <w:jc w:val="both"/>
        <w:rPr>
          <w:rFonts w:ascii="Arial Narrow" w:hAnsi="Arial Narrow"/>
        </w:rPr>
      </w:pPr>
    </w:p>
    <w:p w14:paraId="71DAA96C" w14:textId="0C4F1B8A" w:rsidR="00DC5ECD" w:rsidRPr="00A11678" w:rsidRDefault="00DC5ECD" w:rsidP="00DC5ECD">
      <w:pPr>
        <w:spacing w:after="0" w:line="240" w:lineRule="auto"/>
        <w:ind w:left="-426" w:right="-994"/>
        <w:jc w:val="both"/>
        <w:rPr>
          <w:rFonts w:ascii="Arial Narrow" w:hAnsi="Arial Narrow"/>
        </w:rPr>
      </w:pPr>
      <w:r w:rsidRPr="00A11678">
        <w:rPr>
          <w:rFonts w:ascii="Arial Narrow" w:hAnsi="Arial Narrow"/>
        </w:rPr>
        <w:t>D./</w:t>
      </w:r>
      <w:proofErr w:type="gramStart"/>
      <w:r w:rsidRPr="00A11678">
        <w:rPr>
          <w:rFonts w:ascii="Arial Narrow" w:hAnsi="Arial Narrow"/>
        </w:rPr>
        <w:t>D.ª</w:t>
      </w:r>
      <w:proofErr w:type="gramEnd"/>
      <w:r w:rsidRPr="00A11678">
        <w:rPr>
          <w:rFonts w:ascii="Arial Narrow" w:hAnsi="Arial Narrow"/>
        </w:rPr>
        <w:t xml:space="preserve"> __________________________________, con DNI _____________, domicilio a efectos de notificaciones en _________________________________________________________, correo electrónico ___________</w:t>
      </w:r>
      <w:r w:rsidR="00E02B9A">
        <w:rPr>
          <w:rFonts w:ascii="Arial Narrow" w:hAnsi="Arial Narrow"/>
        </w:rPr>
        <w:t>__</w:t>
      </w:r>
      <w:r w:rsidRPr="00A11678">
        <w:rPr>
          <w:rFonts w:ascii="Arial Narrow" w:hAnsi="Arial Narrow"/>
        </w:rPr>
        <w:t xml:space="preserve">_, comparece durante el periodo de consulta pública del Avance del Plan General de Ordenación Municipal de Huelva y de su Documento Inicial Estratégico </w:t>
      </w:r>
    </w:p>
    <w:p w14:paraId="6CA293D6" w14:textId="77777777" w:rsidR="00DC5ECD" w:rsidRPr="00A11678" w:rsidRDefault="00DC5ECD" w:rsidP="00DC5ECD">
      <w:pPr>
        <w:spacing w:after="0" w:line="240" w:lineRule="auto"/>
        <w:ind w:left="-426" w:right="-994"/>
        <w:jc w:val="both"/>
        <w:rPr>
          <w:rFonts w:ascii="Arial Narrow" w:hAnsi="Arial Narrow"/>
        </w:rPr>
      </w:pPr>
    </w:p>
    <w:p w14:paraId="340E5F78" w14:textId="77777777" w:rsidR="00DC5ECD" w:rsidRDefault="00DC5ECD" w:rsidP="00DC5ECD">
      <w:pPr>
        <w:spacing w:after="0" w:line="240" w:lineRule="auto"/>
        <w:ind w:left="-426" w:right="-994"/>
        <w:jc w:val="center"/>
        <w:rPr>
          <w:rFonts w:ascii="Arial Narrow" w:hAnsi="Arial Narrow"/>
          <w:b/>
          <w:bCs/>
        </w:rPr>
      </w:pPr>
      <w:r w:rsidRPr="00A11678">
        <w:rPr>
          <w:rFonts w:ascii="Arial Narrow" w:hAnsi="Arial Narrow"/>
          <w:b/>
          <w:bCs/>
        </w:rPr>
        <w:t>EXPONE</w:t>
      </w:r>
    </w:p>
    <w:p w14:paraId="49FB12A2" w14:textId="77777777" w:rsidR="00A11678" w:rsidRPr="00A11678" w:rsidRDefault="00A11678" w:rsidP="00DC5ECD">
      <w:pPr>
        <w:spacing w:after="0" w:line="240" w:lineRule="auto"/>
        <w:ind w:left="-426" w:right="-994"/>
        <w:jc w:val="center"/>
        <w:rPr>
          <w:rFonts w:ascii="Arial Narrow" w:hAnsi="Arial Narrow"/>
          <w:b/>
          <w:bCs/>
        </w:rPr>
      </w:pPr>
    </w:p>
    <w:p w14:paraId="658869ED" w14:textId="184B477D" w:rsidR="00DC5ECD" w:rsidRDefault="00DC5ECD" w:rsidP="00DC5ECD">
      <w:pPr>
        <w:spacing w:after="0" w:line="240" w:lineRule="auto"/>
        <w:ind w:left="-426" w:right="-994"/>
        <w:jc w:val="both"/>
        <w:rPr>
          <w:rFonts w:ascii="Arial Narrow" w:hAnsi="Arial Narrow"/>
        </w:rPr>
      </w:pPr>
      <w:r w:rsidRPr="00A11678">
        <w:rPr>
          <w:rFonts w:ascii="Arial Narrow" w:hAnsi="Arial Narrow"/>
        </w:rPr>
        <w:t>Que desea para Huelva un modelo de ciudad verde, saludable, compacta, abierta a su ría y capaz de recuperar los espacios degradados por décadas de actividad industrial. Sin embargo, varias decisiones del Avance</w:t>
      </w:r>
      <w:r w:rsidR="00A11678">
        <w:rPr>
          <w:rFonts w:ascii="Arial Narrow" w:hAnsi="Arial Narrow"/>
        </w:rPr>
        <w:t xml:space="preserve"> del PGOM</w:t>
      </w:r>
      <w:r w:rsidRPr="00A11678">
        <w:rPr>
          <w:rFonts w:ascii="Arial Narrow" w:hAnsi="Arial Narrow"/>
        </w:rPr>
        <w:t xml:space="preserve"> contradicen esos principios y suponen un retroceso respecto del plane</w:t>
      </w:r>
      <w:r w:rsidR="00835886" w:rsidRPr="00A11678">
        <w:rPr>
          <w:rFonts w:ascii="Arial Narrow" w:hAnsi="Arial Narrow"/>
        </w:rPr>
        <w:t>s</w:t>
      </w:r>
      <w:r w:rsidRPr="00A11678">
        <w:rPr>
          <w:rFonts w:ascii="Arial Narrow" w:hAnsi="Arial Narrow"/>
        </w:rPr>
        <w:t xml:space="preserve"> anterior</w:t>
      </w:r>
      <w:r w:rsidR="00835886" w:rsidRPr="00A11678">
        <w:rPr>
          <w:rFonts w:ascii="Arial Narrow" w:hAnsi="Arial Narrow"/>
        </w:rPr>
        <w:t>es</w:t>
      </w:r>
      <w:r w:rsidRPr="00A11678">
        <w:rPr>
          <w:rFonts w:ascii="Arial Narrow" w:hAnsi="Arial Narrow"/>
        </w:rPr>
        <w:t>, por lo que formula las siguientes:</w:t>
      </w:r>
    </w:p>
    <w:p w14:paraId="440296A1" w14:textId="77777777" w:rsidR="00A11678" w:rsidRPr="00A11678" w:rsidRDefault="00A11678" w:rsidP="00DC5ECD">
      <w:pPr>
        <w:spacing w:after="0" w:line="240" w:lineRule="auto"/>
        <w:ind w:left="-426" w:right="-994"/>
        <w:jc w:val="both"/>
        <w:rPr>
          <w:rFonts w:ascii="Arial Narrow" w:hAnsi="Arial Narrow"/>
        </w:rPr>
      </w:pPr>
    </w:p>
    <w:p w14:paraId="3D548D47" w14:textId="77777777" w:rsidR="00DC5ECD" w:rsidRPr="00A11678" w:rsidRDefault="00DC5ECD" w:rsidP="00DC5ECD">
      <w:pPr>
        <w:spacing w:after="0" w:line="240" w:lineRule="auto"/>
        <w:ind w:left="-426" w:right="-994"/>
        <w:jc w:val="both"/>
        <w:rPr>
          <w:rFonts w:ascii="Arial Narrow" w:hAnsi="Arial Narrow"/>
        </w:rPr>
      </w:pPr>
    </w:p>
    <w:p w14:paraId="6FBCB103" w14:textId="77777777" w:rsidR="00DC5ECD" w:rsidRPr="00A11678" w:rsidRDefault="00DC5ECD" w:rsidP="00DC5ECD">
      <w:pPr>
        <w:spacing w:after="0" w:line="240" w:lineRule="auto"/>
        <w:ind w:left="-426" w:right="-994"/>
        <w:jc w:val="center"/>
        <w:rPr>
          <w:rFonts w:ascii="Arial Narrow" w:hAnsi="Arial Narrow"/>
          <w:b/>
          <w:bCs/>
        </w:rPr>
      </w:pPr>
      <w:r w:rsidRPr="00A11678">
        <w:rPr>
          <w:rFonts w:ascii="Arial Narrow" w:hAnsi="Arial Narrow"/>
          <w:b/>
          <w:bCs/>
        </w:rPr>
        <w:t>ALEGACIONES</w:t>
      </w:r>
    </w:p>
    <w:p w14:paraId="07AB2F69" w14:textId="77777777" w:rsidR="00835886" w:rsidRPr="00A11678" w:rsidRDefault="00835886" w:rsidP="00DC5ECD">
      <w:pPr>
        <w:spacing w:after="0" w:line="240" w:lineRule="auto"/>
        <w:ind w:left="-426" w:right="-994"/>
        <w:jc w:val="center"/>
        <w:rPr>
          <w:rFonts w:ascii="Arial Narrow" w:hAnsi="Arial Narrow"/>
          <w:b/>
          <w:bCs/>
        </w:rPr>
      </w:pPr>
    </w:p>
    <w:p w14:paraId="1BB8BD6E" w14:textId="7E19B0D5" w:rsidR="00DC5ECD" w:rsidRPr="00A11678" w:rsidRDefault="00DC5ECD" w:rsidP="00A11678">
      <w:pPr>
        <w:spacing w:after="0" w:line="240" w:lineRule="auto"/>
        <w:ind w:left="-426" w:right="-994"/>
        <w:jc w:val="both"/>
        <w:rPr>
          <w:rFonts w:ascii="Arial Narrow" w:hAnsi="Arial Narrow"/>
        </w:rPr>
      </w:pPr>
      <w:r w:rsidRPr="00A11678">
        <w:rPr>
          <w:rFonts w:ascii="Arial Narrow" w:hAnsi="Arial Narrow"/>
          <w:b/>
          <w:bCs/>
          <w:u w:val="single"/>
        </w:rPr>
        <w:t>PRIMERA.</w:t>
      </w:r>
      <w:r w:rsidRPr="00A11678">
        <w:rPr>
          <w:rFonts w:ascii="Arial Narrow" w:hAnsi="Arial Narrow"/>
          <w:b/>
          <w:bCs/>
        </w:rPr>
        <w:t xml:space="preserve"> </w:t>
      </w:r>
      <w:r w:rsidR="00E67CBD" w:rsidRPr="00A11678">
        <w:rPr>
          <w:rFonts w:ascii="Arial Narrow" w:hAnsi="Arial Narrow"/>
          <w:b/>
          <w:bCs/>
        </w:rPr>
        <w:tab/>
      </w:r>
      <w:r w:rsidRPr="00A11678">
        <w:rPr>
          <w:rFonts w:ascii="Arial Narrow" w:hAnsi="Arial Narrow"/>
          <w:b/>
          <w:bCs/>
        </w:rPr>
        <w:t>La recuperación de la Punta del Sebo para la ciudad</w:t>
      </w:r>
      <w:r w:rsidRPr="00A11678">
        <w:rPr>
          <w:rFonts w:ascii="Arial Narrow" w:hAnsi="Arial Narrow"/>
        </w:rPr>
        <w:t xml:space="preserve"> fue planteada por el </w:t>
      </w:r>
      <w:r w:rsidR="00462DC5" w:rsidRPr="00A11678">
        <w:rPr>
          <w:rFonts w:ascii="Arial Narrow" w:hAnsi="Arial Narrow"/>
        </w:rPr>
        <w:t xml:space="preserve">Plan General </w:t>
      </w:r>
      <w:r w:rsidRPr="00A11678">
        <w:rPr>
          <w:rFonts w:ascii="Arial Narrow" w:hAnsi="Arial Narrow"/>
        </w:rPr>
        <w:t>de 1980</w:t>
      </w:r>
      <w:r w:rsidR="00462DC5" w:rsidRPr="00A11678">
        <w:rPr>
          <w:rFonts w:ascii="Arial Narrow" w:hAnsi="Arial Narrow"/>
        </w:rPr>
        <w:t xml:space="preserve"> declarando el cambio de uso de suelo</w:t>
      </w:r>
      <w:r w:rsidRPr="00A11678">
        <w:rPr>
          <w:rFonts w:ascii="Arial Narrow" w:hAnsi="Arial Narrow"/>
        </w:rPr>
        <w:t>, reafirmada mediante los Acuerdos para la Recuperación de la avenida Francisco Montenegro de 1991 e incorporada al PGOU de 1999.</w:t>
      </w:r>
      <w:r w:rsidR="00A11678" w:rsidRPr="00A11678">
        <w:rPr>
          <w:rFonts w:ascii="Arial Narrow" w:hAnsi="Arial Narrow"/>
        </w:rPr>
        <w:t xml:space="preserve"> La Punta del Sebo es un </w:t>
      </w:r>
      <w:r w:rsidR="00A11678" w:rsidRPr="00A11678">
        <w:rPr>
          <w:rFonts w:ascii="Arial Narrow" w:hAnsi="Arial Narrow"/>
        </w:rPr>
        <w:t>ÁREA DE OPORTUNIDAD, un valiosísimo</w:t>
      </w:r>
      <w:r w:rsidR="00A11678" w:rsidRPr="00A11678">
        <w:rPr>
          <w:rFonts w:ascii="Arial Narrow" w:hAnsi="Arial Narrow"/>
        </w:rPr>
        <w:t xml:space="preserve"> </w:t>
      </w:r>
      <w:r w:rsidR="00A11678" w:rsidRPr="00A11678">
        <w:rPr>
          <w:rFonts w:ascii="Arial Narrow" w:hAnsi="Arial Narrow"/>
        </w:rPr>
        <w:t>activo para el futuro de Huelva, pues su ubicación, en la confluencia de los ríos Tinto y</w:t>
      </w:r>
      <w:r w:rsidR="00A11678" w:rsidRPr="00A11678">
        <w:rPr>
          <w:rFonts w:ascii="Arial Narrow" w:hAnsi="Arial Narrow"/>
        </w:rPr>
        <w:t xml:space="preserve"> </w:t>
      </w:r>
      <w:r w:rsidR="00A11678" w:rsidRPr="00A11678">
        <w:rPr>
          <w:rFonts w:ascii="Arial Narrow" w:hAnsi="Arial Narrow"/>
        </w:rPr>
        <w:t>Odiel, en una zona de centralidad del ámbito del área metropolitana y de los lugares</w:t>
      </w:r>
      <w:r w:rsidR="00A11678" w:rsidRPr="00A11678">
        <w:rPr>
          <w:rFonts w:ascii="Arial Narrow" w:hAnsi="Arial Narrow"/>
        </w:rPr>
        <w:t xml:space="preserve"> C</w:t>
      </w:r>
      <w:r w:rsidR="00A11678" w:rsidRPr="00A11678">
        <w:rPr>
          <w:rFonts w:ascii="Arial Narrow" w:hAnsi="Arial Narrow"/>
        </w:rPr>
        <w:t>olombinos</w:t>
      </w:r>
      <w:r w:rsidR="00A11678" w:rsidRPr="00A11678">
        <w:rPr>
          <w:rFonts w:ascii="Arial Narrow" w:hAnsi="Arial Narrow"/>
        </w:rPr>
        <w:t xml:space="preserve"> que aspiran a ser declarados Patrimonio de la Humanidad,</w:t>
      </w:r>
      <w:r w:rsidR="00A11678" w:rsidRPr="00A11678">
        <w:rPr>
          <w:rFonts w:ascii="Arial Narrow" w:hAnsi="Arial Narrow"/>
        </w:rPr>
        <w:t xml:space="preserve"> lo convierten en el lugar más privilegiado y con mayor potencial para</w:t>
      </w:r>
      <w:r w:rsidR="00A11678" w:rsidRPr="00A11678">
        <w:rPr>
          <w:rFonts w:ascii="Arial Narrow" w:hAnsi="Arial Narrow"/>
        </w:rPr>
        <w:t xml:space="preserve"> e</w:t>
      </w:r>
      <w:r w:rsidR="00A11678" w:rsidRPr="00A11678">
        <w:rPr>
          <w:rFonts w:ascii="Arial Narrow" w:hAnsi="Arial Narrow"/>
        </w:rPr>
        <w:t>l desarrollo económico y social de la ciudad.</w:t>
      </w:r>
      <w:r w:rsidR="00A11678" w:rsidRPr="00A11678">
        <w:rPr>
          <w:rFonts w:ascii="Arial Narrow" w:hAnsi="Arial Narrow"/>
        </w:rPr>
        <w:t xml:space="preserve"> </w:t>
      </w:r>
    </w:p>
    <w:p w14:paraId="76A2CE33" w14:textId="7E4601D3" w:rsidR="00DC5ECD" w:rsidRPr="00A11678" w:rsidRDefault="00DC5ECD" w:rsidP="00DC5ECD">
      <w:pPr>
        <w:spacing w:after="0" w:line="240" w:lineRule="auto"/>
        <w:ind w:left="-426" w:right="-994" w:firstLine="1134"/>
        <w:jc w:val="both"/>
        <w:rPr>
          <w:rFonts w:ascii="Arial Narrow" w:hAnsi="Arial Narrow"/>
        </w:rPr>
      </w:pPr>
      <w:r w:rsidRPr="00A11678">
        <w:rPr>
          <w:rFonts w:ascii="Arial Narrow" w:hAnsi="Arial Narrow"/>
        </w:rPr>
        <w:t>El nuevo PGOM no debe renunciar a esta aspiración histórica ni consolidar indefinidamente en el Puerto Interior nuevos usos industriales, logísticos o portuarios. La actividad industrial pesada y logística debe concentrarse en el Puerto Exterior, liberando progresivamente Punta del Sebo para usos públicos, ambientales, culturales, tecnológicos, turísticos y económicos no contaminantes.</w:t>
      </w:r>
      <w:r w:rsidR="00A11678" w:rsidRPr="00A11678">
        <w:rPr>
          <w:rFonts w:ascii="Arial Narrow" w:hAnsi="Arial Narrow"/>
        </w:rPr>
        <w:t xml:space="preserve"> </w:t>
      </w:r>
    </w:p>
    <w:p w14:paraId="0D06BCF5" w14:textId="6BE42AB0" w:rsidR="00DC5ECD" w:rsidRPr="00A11678" w:rsidRDefault="00DC5ECD" w:rsidP="00DC5ECD">
      <w:pPr>
        <w:spacing w:after="0" w:line="240" w:lineRule="auto"/>
        <w:ind w:left="-426" w:right="-994" w:firstLine="1134"/>
        <w:jc w:val="both"/>
        <w:rPr>
          <w:rFonts w:ascii="Arial Narrow" w:hAnsi="Arial Narrow"/>
        </w:rPr>
      </w:pPr>
      <w:r w:rsidRPr="00A11678">
        <w:rPr>
          <w:rFonts w:ascii="Arial Narrow" w:hAnsi="Arial Narrow"/>
        </w:rPr>
        <w:t>Esta recuperación está respaldada por 37.000 firmas ciudadanas, que reclaman la restitución de Punta del Sebo a la ciudad y la recuperación integral de las marismas ocupadas por los fosfoyesos, incluida la Zona 1</w:t>
      </w:r>
      <w:r w:rsidR="00462DC5" w:rsidRPr="00A11678">
        <w:rPr>
          <w:rFonts w:ascii="Arial Narrow" w:hAnsi="Arial Narrow"/>
        </w:rPr>
        <w:t>,</w:t>
      </w:r>
      <w:r w:rsidRPr="00A11678">
        <w:rPr>
          <w:rFonts w:ascii="Arial Narrow" w:hAnsi="Arial Narrow"/>
        </w:rPr>
        <w:t xml:space="preserve"> como eje del cambio de modelo de ciudad.</w:t>
      </w:r>
    </w:p>
    <w:p w14:paraId="568BAB9D" w14:textId="77777777" w:rsidR="00DC5ECD" w:rsidRPr="00A11678" w:rsidRDefault="00DC5ECD" w:rsidP="00DC5ECD">
      <w:pPr>
        <w:spacing w:after="0" w:line="240" w:lineRule="auto"/>
        <w:ind w:left="-426" w:right="-994"/>
        <w:jc w:val="both"/>
        <w:rPr>
          <w:rFonts w:ascii="Arial Narrow" w:hAnsi="Arial Narrow"/>
        </w:rPr>
      </w:pPr>
    </w:p>
    <w:p w14:paraId="4743911C" w14:textId="50B211A2" w:rsidR="00DC5ECD" w:rsidRPr="00A11678" w:rsidRDefault="00DC5ECD" w:rsidP="00DC5ECD">
      <w:pPr>
        <w:spacing w:after="0" w:line="240" w:lineRule="auto"/>
        <w:ind w:left="-426" w:right="-994"/>
        <w:jc w:val="both"/>
        <w:rPr>
          <w:rFonts w:ascii="Arial Narrow" w:hAnsi="Arial Narrow"/>
          <w:b/>
          <w:bCs/>
        </w:rPr>
      </w:pPr>
      <w:r w:rsidRPr="00A11678">
        <w:rPr>
          <w:rFonts w:ascii="Arial Narrow" w:hAnsi="Arial Narrow"/>
          <w:b/>
          <w:bCs/>
          <w:u w:val="single"/>
        </w:rPr>
        <w:t>SEGUNDA.</w:t>
      </w:r>
      <w:r w:rsidRPr="00A11678">
        <w:rPr>
          <w:rFonts w:ascii="Arial Narrow" w:hAnsi="Arial Narrow"/>
          <w:b/>
          <w:bCs/>
        </w:rPr>
        <w:t xml:space="preserve"> </w:t>
      </w:r>
      <w:r w:rsidR="00E67CBD" w:rsidRPr="00A11678">
        <w:rPr>
          <w:rFonts w:ascii="Arial Narrow" w:hAnsi="Arial Narrow"/>
          <w:b/>
          <w:bCs/>
        </w:rPr>
        <w:tab/>
      </w:r>
      <w:r w:rsidRPr="00A11678">
        <w:rPr>
          <w:rFonts w:ascii="Arial Narrow" w:hAnsi="Arial Narrow"/>
          <w:b/>
          <w:bCs/>
        </w:rPr>
        <w:t>Recuperación integral de Marismas del Pinar</w:t>
      </w:r>
      <w:r w:rsidR="00835886" w:rsidRPr="00A11678">
        <w:rPr>
          <w:rFonts w:ascii="Arial Narrow" w:hAnsi="Arial Narrow"/>
          <w:b/>
          <w:bCs/>
        </w:rPr>
        <w:t xml:space="preserve"> y Rincon y Mendaña</w:t>
      </w:r>
      <w:r w:rsidRPr="00A11678">
        <w:rPr>
          <w:rFonts w:ascii="Arial Narrow" w:hAnsi="Arial Narrow"/>
          <w:b/>
          <w:bCs/>
        </w:rPr>
        <w:t xml:space="preserve"> </w:t>
      </w:r>
    </w:p>
    <w:p w14:paraId="5295C99C" w14:textId="3E78DFFE" w:rsidR="00DC5ECD" w:rsidRPr="00A11678" w:rsidRDefault="00DC5ECD" w:rsidP="00462DC5">
      <w:pPr>
        <w:spacing w:after="0" w:line="240" w:lineRule="auto"/>
        <w:ind w:left="-426" w:right="-994" w:firstLine="1134"/>
        <w:jc w:val="both"/>
        <w:rPr>
          <w:rFonts w:ascii="Arial Narrow" w:hAnsi="Arial Narrow"/>
        </w:rPr>
      </w:pPr>
      <w:r w:rsidRPr="00A11678">
        <w:rPr>
          <w:rFonts w:ascii="Arial Narrow" w:hAnsi="Arial Narrow"/>
        </w:rPr>
        <w:t>La Zona 1 de los fosfoyesos, denominada Marismas del Pinar, fue considerada por el planeamiento como espacio natural de interés a regenerar y destinada a formar parte del sistema general de espacios libres.</w:t>
      </w:r>
    </w:p>
    <w:p w14:paraId="57645397" w14:textId="017A8067" w:rsidR="00DC5ECD" w:rsidRPr="00A11678" w:rsidRDefault="00DC5ECD" w:rsidP="00DC5ECD">
      <w:pPr>
        <w:spacing w:after="0" w:line="240" w:lineRule="auto"/>
        <w:ind w:left="-426" w:right="-994" w:firstLine="1134"/>
        <w:jc w:val="both"/>
        <w:rPr>
          <w:rFonts w:ascii="Arial Narrow" w:hAnsi="Arial Narrow"/>
        </w:rPr>
      </w:pPr>
      <w:r w:rsidRPr="00A11678">
        <w:rPr>
          <w:rFonts w:ascii="Arial Narrow" w:hAnsi="Arial Narrow"/>
        </w:rPr>
        <w:t>Sin embargo, el Avance del PGOM asume su ocupación mediante grandes instalaciones fotovoltaicas gestionadas desde el ámbito portuario, pese a que la Junta de Andalucía ha certificado que no consta una resolución que declare oficialmente restaurada la Zona 1</w:t>
      </w:r>
      <w:r w:rsidR="00962F77" w:rsidRPr="00A11678">
        <w:rPr>
          <w:rFonts w:ascii="Arial Narrow" w:hAnsi="Arial Narrow"/>
        </w:rPr>
        <w:t>, a que existe sentencia condenatoria</w:t>
      </w:r>
      <w:r w:rsidR="00E67CBD" w:rsidRPr="00A11678">
        <w:rPr>
          <w:rFonts w:ascii="Arial Narrow" w:hAnsi="Arial Narrow"/>
        </w:rPr>
        <w:t xml:space="preserve"> penal firme por gestión ilegal de residuos que demuestra que los</w:t>
      </w:r>
      <w:r w:rsidR="00962F77" w:rsidRPr="00A11678">
        <w:rPr>
          <w:rFonts w:ascii="Arial Narrow" w:hAnsi="Arial Narrow"/>
        </w:rPr>
        <w:t xml:space="preserve"> </w:t>
      </w:r>
      <w:r w:rsidR="00E67CBD" w:rsidRPr="00A11678">
        <w:rPr>
          <w:rFonts w:ascii="Arial Narrow" w:hAnsi="Arial Narrow"/>
        </w:rPr>
        <w:t xml:space="preserve">residuos allí gestionados como </w:t>
      </w:r>
      <w:r w:rsidRPr="00A11678">
        <w:rPr>
          <w:rFonts w:ascii="Arial Narrow" w:hAnsi="Arial Narrow"/>
        </w:rPr>
        <w:t>fosfoyesos, cenizas de pirita y otros residuos industriales</w:t>
      </w:r>
      <w:r w:rsidR="00E67CBD" w:rsidRPr="00A11678">
        <w:rPr>
          <w:rFonts w:ascii="Arial Narrow" w:hAnsi="Arial Narrow"/>
        </w:rPr>
        <w:t xml:space="preserve"> son tóxicos y cancerígenos</w:t>
      </w:r>
      <w:r w:rsidRPr="00A11678">
        <w:rPr>
          <w:rFonts w:ascii="Arial Narrow" w:hAnsi="Arial Narrow"/>
        </w:rPr>
        <w:t>.</w:t>
      </w:r>
    </w:p>
    <w:p w14:paraId="59E1FC6D" w14:textId="351A13FF" w:rsidR="00DC5ECD" w:rsidRPr="00A11678" w:rsidRDefault="00DC5ECD" w:rsidP="00462DC5">
      <w:pPr>
        <w:spacing w:after="0" w:line="240" w:lineRule="auto"/>
        <w:ind w:left="-426" w:right="-994" w:firstLine="1134"/>
        <w:jc w:val="both"/>
        <w:rPr>
          <w:rFonts w:ascii="Arial Narrow" w:hAnsi="Arial Narrow"/>
        </w:rPr>
      </w:pPr>
      <w:r w:rsidRPr="00A11678">
        <w:rPr>
          <w:rFonts w:ascii="Arial Narrow" w:hAnsi="Arial Narrow"/>
        </w:rPr>
        <w:t>La ausencia de una declaración formal</w:t>
      </w:r>
      <w:r w:rsidR="00462DC5" w:rsidRPr="00A11678">
        <w:rPr>
          <w:rFonts w:ascii="Arial Narrow" w:hAnsi="Arial Narrow"/>
        </w:rPr>
        <w:t xml:space="preserve"> de </w:t>
      </w:r>
      <w:r w:rsidR="00962F77" w:rsidRPr="00A11678">
        <w:rPr>
          <w:rFonts w:ascii="Arial Narrow" w:hAnsi="Arial Narrow"/>
        </w:rPr>
        <w:t>‘</w:t>
      </w:r>
      <w:r w:rsidR="00462DC5" w:rsidRPr="00A11678">
        <w:rPr>
          <w:rFonts w:ascii="Arial Narrow" w:hAnsi="Arial Narrow"/>
        </w:rPr>
        <w:t>suelo contaminado</w:t>
      </w:r>
      <w:r w:rsidR="00962F77" w:rsidRPr="00A11678">
        <w:rPr>
          <w:rFonts w:ascii="Arial Narrow" w:hAnsi="Arial Narrow"/>
        </w:rPr>
        <w:t>’</w:t>
      </w:r>
      <w:r w:rsidR="00462DC5" w:rsidRPr="00A11678">
        <w:rPr>
          <w:rFonts w:ascii="Arial Narrow" w:hAnsi="Arial Narrow"/>
        </w:rPr>
        <w:t xml:space="preserve"> de los responsables de la</w:t>
      </w:r>
      <w:r w:rsidR="00BE1C20" w:rsidRPr="00A11678">
        <w:rPr>
          <w:rFonts w:ascii="Arial Narrow" w:hAnsi="Arial Narrow"/>
        </w:rPr>
        <w:t>s</w:t>
      </w:r>
      <w:r w:rsidR="00462DC5" w:rsidRPr="00A11678">
        <w:rPr>
          <w:rFonts w:ascii="Arial Narrow" w:hAnsi="Arial Narrow"/>
        </w:rPr>
        <w:t xml:space="preserve"> </w:t>
      </w:r>
      <w:r w:rsidR="00962F77" w:rsidRPr="00A11678">
        <w:rPr>
          <w:rFonts w:ascii="Arial Narrow" w:hAnsi="Arial Narrow"/>
        </w:rPr>
        <w:t>administraciones</w:t>
      </w:r>
      <w:r w:rsidR="00462DC5" w:rsidRPr="00A11678">
        <w:rPr>
          <w:rFonts w:ascii="Arial Narrow" w:hAnsi="Arial Narrow"/>
        </w:rPr>
        <w:t xml:space="preserve"> competentes,</w:t>
      </w:r>
      <w:r w:rsidRPr="00A11678">
        <w:rPr>
          <w:rFonts w:ascii="Arial Narrow" w:hAnsi="Arial Narrow"/>
        </w:rPr>
        <w:t xml:space="preserve"> no permite al planeamiento ignorar una contaminación conocida. Antes de asignar o ejecutar nuevos usos deben realizarse la caracterización, la evaluación de riesgos y la recuperación necesaria para garantizar que el suelo es compatible con el uso previsto.</w:t>
      </w:r>
    </w:p>
    <w:p w14:paraId="38FB548A" w14:textId="0655174D" w:rsidR="00DC5ECD" w:rsidRPr="00A11678" w:rsidRDefault="00DC5ECD" w:rsidP="00462DC5">
      <w:pPr>
        <w:spacing w:after="0" w:line="240" w:lineRule="auto"/>
        <w:ind w:left="-426" w:right="-994" w:firstLine="1134"/>
        <w:jc w:val="both"/>
        <w:rPr>
          <w:rFonts w:ascii="Arial Narrow" w:hAnsi="Arial Narrow"/>
        </w:rPr>
      </w:pPr>
      <w:r w:rsidRPr="00A11678">
        <w:rPr>
          <w:rFonts w:ascii="Arial Narrow" w:hAnsi="Arial Narrow"/>
        </w:rPr>
        <w:t>Por ello, debe eliminarse la ocupación fotovoltaica de la Zona 1</w:t>
      </w:r>
      <w:r w:rsidR="00BE1C20" w:rsidRPr="00A11678">
        <w:rPr>
          <w:rFonts w:ascii="Arial Narrow" w:hAnsi="Arial Narrow"/>
        </w:rPr>
        <w:t xml:space="preserve"> de los fosfoyesos</w:t>
      </w:r>
      <w:r w:rsidRPr="00A11678">
        <w:rPr>
          <w:rFonts w:ascii="Arial Narrow" w:hAnsi="Arial Narrow"/>
        </w:rPr>
        <w:t xml:space="preserve"> y mantenerse como objetivo irrenunciable la recuperación física y ambiental integral de Marismas del Pinar, restituyéndola progresivamente como marisma y</w:t>
      </w:r>
      <w:r w:rsidR="00462DC5" w:rsidRPr="00A11678">
        <w:rPr>
          <w:rFonts w:ascii="Arial Narrow" w:hAnsi="Arial Narrow"/>
        </w:rPr>
        <w:t>/o</w:t>
      </w:r>
      <w:r w:rsidRPr="00A11678">
        <w:rPr>
          <w:rFonts w:ascii="Arial Narrow" w:hAnsi="Arial Narrow"/>
        </w:rPr>
        <w:t xml:space="preserve"> espacio libre público conectado con Punta del Sebo</w:t>
      </w:r>
      <w:r w:rsidR="00E67CBD" w:rsidRPr="00A11678">
        <w:rPr>
          <w:rFonts w:ascii="Arial Narrow" w:hAnsi="Arial Narrow"/>
        </w:rPr>
        <w:t>, instando a la desafectación p</w:t>
      </w:r>
      <w:r w:rsidR="00240E9A" w:rsidRPr="00A11678">
        <w:rPr>
          <w:rFonts w:ascii="Arial Narrow" w:hAnsi="Arial Narrow"/>
        </w:rPr>
        <w:t>ortuaria</w:t>
      </w:r>
      <w:r w:rsidR="00BE1C20" w:rsidRPr="00A11678">
        <w:rPr>
          <w:rFonts w:ascii="Arial Narrow" w:hAnsi="Arial Narrow"/>
        </w:rPr>
        <w:t>,</w:t>
      </w:r>
      <w:r w:rsidR="00240E9A" w:rsidRPr="00A11678">
        <w:rPr>
          <w:rFonts w:ascii="Arial Narrow" w:hAnsi="Arial Narrow"/>
        </w:rPr>
        <w:t xml:space="preserve"> administración responsable </w:t>
      </w:r>
      <w:r w:rsidR="00BE1C20" w:rsidRPr="00A11678">
        <w:rPr>
          <w:rFonts w:ascii="Arial Narrow" w:hAnsi="Arial Narrow"/>
        </w:rPr>
        <w:t xml:space="preserve">directa </w:t>
      </w:r>
      <w:r w:rsidR="00240E9A" w:rsidRPr="00A11678">
        <w:rPr>
          <w:rFonts w:ascii="Arial Narrow" w:hAnsi="Arial Narrow"/>
        </w:rPr>
        <w:t>de la contaminación del suelo</w:t>
      </w:r>
      <w:r w:rsidRPr="00A11678">
        <w:rPr>
          <w:rFonts w:ascii="Arial Narrow" w:hAnsi="Arial Narrow"/>
        </w:rPr>
        <w:t>.</w:t>
      </w:r>
    </w:p>
    <w:p w14:paraId="1CE70036" w14:textId="77777777" w:rsidR="00DC5ECD" w:rsidRPr="00A11678" w:rsidRDefault="00DC5ECD" w:rsidP="00DC5ECD">
      <w:pPr>
        <w:spacing w:after="0" w:line="240" w:lineRule="auto"/>
        <w:ind w:left="-426" w:right="-994"/>
        <w:jc w:val="both"/>
        <w:rPr>
          <w:rFonts w:ascii="Arial Narrow" w:hAnsi="Arial Narrow"/>
        </w:rPr>
      </w:pPr>
    </w:p>
    <w:p w14:paraId="64FFD56E" w14:textId="01293A33" w:rsidR="00DC5ECD" w:rsidRPr="00A11678" w:rsidRDefault="00DC5ECD" w:rsidP="00DC5ECD">
      <w:pPr>
        <w:spacing w:after="0" w:line="240" w:lineRule="auto"/>
        <w:ind w:left="-426" w:right="-994"/>
        <w:jc w:val="both"/>
        <w:rPr>
          <w:rFonts w:ascii="Arial Narrow" w:hAnsi="Arial Narrow"/>
          <w:b/>
          <w:bCs/>
        </w:rPr>
      </w:pPr>
      <w:r w:rsidRPr="00A11678">
        <w:rPr>
          <w:rFonts w:ascii="Arial Narrow" w:hAnsi="Arial Narrow"/>
          <w:b/>
          <w:bCs/>
          <w:u w:val="single"/>
        </w:rPr>
        <w:t>TERCERA.</w:t>
      </w:r>
      <w:r w:rsidRPr="00A11678">
        <w:rPr>
          <w:rFonts w:ascii="Arial Narrow" w:hAnsi="Arial Narrow"/>
          <w:b/>
          <w:bCs/>
        </w:rPr>
        <w:t xml:space="preserve"> Rechazo del crecimiento de San Antonio de Montija y del salto exterior a la</w:t>
      </w:r>
      <w:r w:rsidR="00962F77" w:rsidRPr="00A11678">
        <w:rPr>
          <w:rFonts w:ascii="Arial Narrow" w:hAnsi="Arial Narrow"/>
          <w:b/>
          <w:bCs/>
        </w:rPr>
        <w:t xml:space="preserve"> ronda</w:t>
      </w:r>
      <w:r w:rsidRPr="00A11678">
        <w:rPr>
          <w:rFonts w:ascii="Arial Narrow" w:hAnsi="Arial Narrow"/>
          <w:b/>
          <w:bCs/>
        </w:rPr>
        <w:t xml:space="preserve"> H-30</w:t>
      </w:r>
    </w:p>
    <w:p w14:paraId="6C78CFA0" w14:textId="04EDA150" w:rsidR="00DC5ECD" w:rsidRPr="00A11678" w:rsidRDefault="00DC5ECD" w:rsidP="00462DC5">
      <w:pPr>
        <w:spacing w:after="0" w:line="240" w:lineRule="auto"/>
        <w:ind w:left="-426" w:right="-994" w:firstLine="1134"/>
        <w:jc w:val="both"/>
        <w:rPr>
          <w:rFonts w:ascii="Arial Narrow" w:hAnsi="Arial Narrow"/>
        </w:rPr>
      </w:pPr>
      <w:r w:rsidRPr="00A11678">
        <w:rPr>
          <w:rFonts w:ascii="Arial Narrow" w:hAnsi="Arial Narrow"/>
        </w:rPr>
        <w:t>El crecimiento de San Antonio de Montija no está justificado por la evolución demográfica ni por una necesidad real de suelo residencial. Dentro de la ronda H-30 permanecen grandes vacíos urbanos, solares, sectores sin desarrollar y espacios susceptibles de regeneración.</w:t>
      </w:r>
    </w:p>
    <w:p w14:paraId="4193DE5D" w14:textId="6B0D79BB" w:rsidR="00DC5ECD" w:rsidRPr="00A11678" w:rsidRDefault="00DC5ECD" w:rsidP="00462DC5">
      <w:pPr>
        <w:spacing w:after="0" w:line="240" w:lineRule="auto"/>
        <w:ind w:left="-426" w:right="-994" w:firstLine="1134"/>
        <w:jc w:val="both"/>
        <w:rPr>
          <w:rFonts w:ascii="Arial Narrow" w:hAnsi="Arial Narrow"/>
        </w:rPr>
      </w:pPr>
      <w:r w:rsidRPr="00A11678">
        <w:rPr>
          <w:rFonts w:ascii="Arial Narrow" w:hAnsi="Arial Narrow"/>
        </w:rPr>
        <w:lastRenderedPageBreak/>
        <w:t xml:space="preserve">Además, este crecimiento aproxima nueva población a las zonas </w:t>
      </w:r>
      <w:r w:rsidR="00962F77" w:rsidRPr="00A11678">
        <w:rPr>
          <w:rFonts w:ascii="Arial Narrow" w:hAnsi="Arial Narrow"/>
        </w:rPr>
        <w:t xml:space="preserve">con mayor problemática química y radiológica </w:t>
      </w:r>
      <w:r w:rsidRPr="00A11678">
        <w:rPr>
          <w:rFonts w:ascii="Arial Narrow" w:hAnsi="Arial Narrow"/>
        </w:rPr>
        <w:t>de las balsas de fosfoyesos. El planeamiento debe aplicar los principios de prevención y precaución y evitar la implantación de nuevos usos residenciales en las proximidades de focos contaminantes conocidos.</w:t>
      </w:r>
    </w:p>
    <w:p w14:paraId="60C66B20" w14:textId="77777777" w:rsidR="00DC5ECD" w:rsidRPr="00A11678" w:rsidRDefault="00DC5ECD" w:rsidP="00DC5ECD">
      <w:pPr>
        <w:spacing w:after="0" w:line="240" w:lineRule="auto"/>
        <w:ind w:left="-426" w:right="-994"/>
        <w:jc w:val="both"/>
        <w:rPr>
          <w:rFonts w:ascii="Arial Narrow" w:hAnsi="Arial Narrow"/>
        </w:rPr>
      </w:pPr>
    </w:p>
    <w:p w14:paraId="3708A68F" w14:textId="77777777" w:rsidR="00DC5ECD" w:rsidRPr="00A11678" w:rsidRDefault="00DC5ECD" w:rsidP="00DC5ECD">
      <w:pPr>
        <w:spacing w:after="0" w:line="240" w:lineRule="auto"/>
        <w:ind w:left="-426" w:right="-994"/>
        <w:jc w:val="both"/>
        <w:rPr>
          <w:rFonts w:ascii="Arial Narrow" w:hAnsi="Arial Narrow"/>
        </w:rPr>
      </w:pPr>
      <w:r w:rsidRPr="00A11678">
        <w:rPr>
          <w:rFonts w:ascii="Arial Narrow" w:hAnsi="Arial Narrow"/>
        </w:rPr>
        <w:t>Antes de mantener este crecimiento sería imprescindible una evaluación específica e independiente de los riesgos radiológicos, químicos y sanitarios, incluida la dispersión de partículas, la contaminación de aguas, los efectos acumulativos con otras industrias y la distancia a equipamientos y viviendas.</w:t>
      </w:r>
    </w:p>
    <w:p w14:paraId="7C3F9D8E" w14:textId="10EE7126" w:rsidR="00DC5ECD" w:rsidRPr="00A11678" w:rsidRDefault="00DC5ECD" w:rsidP="00DC5ECD">
      <w:pPr>
        <w:spacing w:after="0" w:line="240" w:lineRule="auto"/>
        <w:ind w:left="-426" w:right="-994"/>
        <w:jc w:val="both"/>
        <w:rPr>
          <w:rFonts w:ascii="Arial Narrow" w:hAnsi="Arial Narrow"/>
        </w:rPr>
      </w:pPr>
      <w:r w:rsidRPr="00A11678">
        <w:rPr>
          <w:rFonts w:ascii="Arial Narrow" w:hAnsi="Arial Narrow"/>
        </w:rPr>
        <w:t>El salto de la H-30 contradice, por tanto, el modelo proclamado de ciudad compacta y debe ser sustituido por la regeneración y el aprovechamiento del suelo urbano interior</w:t>
      </w:r>
      <w:r w:rsidR="00962F77" w:rsidRPr="00A11678">
        <w:rPr>
          <w:rFonts w:ascii="Arial Narrow" w:hAnsi="Arial Narrow"/>
        </w:rPr>
        <w:t xml:space="preserve"> a la ronda</w:t>
      </w:r>
      <w:r w:rsidRPr="00A11678">
        <w:rPr>
          <w:rFonts w:ascii="Arial Narrow" w:hAnsi="Arial Narrow"/>
        </w:rPr>
        <w:t>.</w:t>
      </w:r>
    </w:p>
    <w:p w14:paraId="2F8C562F" w14:textId="77777777" w:rsidR="00DC5ECD" w:rsidRPr="00A11678" w:rsidRDefault="00DC5ECD" w:rsidP="00DC5ECD">
      <w:pPr>
        <w:spacing w:after="0" w:line="240" w:lineRule="auto"/>
        <w:ind w:left="-426" w:right="-994"/>
        <w:jc w:val="both"/>
        <w:rPr>
          <w:rFonts w:ascii="Arial Narrow" w:hAnsi="Arial Narrow"/>
        </w:rPr>
      </w:pPr>
    </w:p>
    <w:p w14:paraId="35D31DD2" w14:textId="77777777" w:rsidR="00DC5ECD" w:rsidRPr="00A11678" w:rsidRDefault="00DC5ECD" w:rsidP="00DC5ECD">
      <w:pPr>
        <w:spacing w:after="0" w:line="240" w:lineRule="auto"/>
        <w:ind w:left="-426" w:right="-994"/>
        <w:jc w:val="both"/>
        <w:rPr>
          <w:rFonts w:ascii="Arial Narrow" w:hAnsi="Arial Narrow"/>
          <w:b/>
          <w:bCs/>
        </w:rPr>
      </w:pPr>
      <w:r w:rsidRPr="00A11678">
        <w:rPr>
          <w:rFonts w:ascii="Arial Narrow" w:hAnsi="Arial Narrow"/>
          <w:b/>
          <w:bCs/>
          <w:u w:val="single"/>
        </w:rPr>
        <w:t>CUARTA.</w:t>
      </w:r>
      <w:r w:rsidRPr="00A11678">
        <w:rPr>
          <w:rFonts w:ascii="Arial Narrow" w:hAnsi="Arial Narrow"/>
          <w:b/>
          <w:bCs/>
        </w:rPr>
        <w:t xml:space="preserve"> Cierre real del anillo verde y recuperación de Marismas del Odiel</w:t>
      </w:r>
    </w:p>
    <w:p w14:paraId="4D439809" w14:textId="77777777" w:rsidR="00DC5ECD" w:rsidRPr="00A11678" w:rsidRDefault="00DC5ECD" w:rsidP="00DC5ECD">
      <w:pPr>
        <w:spacing w:after="0" w:line="240" w:lineRule="auto"/>
        <w:ind w:left="-426" w:right="-994"/>
        <w:jc w:val="both"/>
        <w:rPr>
          <w:rFonts w:ascii="Arial Narrow" w:hAnsi="Arial Narrow"/>
        </w:rPr>
      </w:pPr>
      <w:r w:rsidRPr="00A11678">
        <w:rPr>
          <w:rFonts w:ascii="Arial Narrow" w:hAnsi="Arial Narrow"/>
        </w:rPr>
        <w:t>El anillo verde previsto en el PGOM solo será real si incorpora la recuperación de Punta del Sebo y Marismas del Pinar, conectando la ciudad con las marismas del Tinto y del Odiel.</w:t>
      </w:r>
    </w:p>
    <w:p w14:paraId="0449A085" w14:textId="77777777" w:rsidR="00DC5ECD" w:rsidRPr="00A11678" w:rsidRDefault="00DC5ECD" w:rsidP="00DC5ECD">
      <w:pPr>
        <w:spacing w:after="0" w:line="240" w:lineRule="auto"/>
        <w:ind w:left="-426" w:right="-994"/>
        <w:jc w:val="both"/>
        <w:rPr>
          <w:rFonts w:ascii="Arial Narrow" w:hAnsi="Arial Narrow"/>
        </w:rPr>
      </w:pPr>
      <w:r w:rsidRPr="00A11678">
        <w:rPr>
          <w:rFonts w:ascii="Arial Narrow" w:hAnsi="Arial Narrow"/>
        </w:rPr>
        <w:t>Sin esta pieza, el PGOM incurre en una grave contradicción: se presenta como un plan verde y regenerador, pero renuncia a recuperar los suelos degradados que permitirían completar la principal infraestructura ambiental de Huelva.</w:t>
      </w:r>
    </w:p>
    <w:p w14:paraId="672AD6CB" w14:textId="51EBE8DC" w:rsidR="00DC5ECD" w:rsidRPr="00A11678" w:rsidRDefault="00DC5ECD" w:rsidP="00DC5ECD">
      <w:pPr>
        <w:spacing w:after="0" w:line="240" w:lineRule="auto"/>
        <w:ind w:left="-426" w:right="-994"/>
        <w:jc w:val="both"/>
        <w:rPr>
          <w:rFonts w:ascii="Arial Narrow" w:hAnsi="Arial Narrow"/>
        </w:rPr>
      </w:pPr>
      <w:r w:rsidRPr="00A11678">
        <w:rPr>
          <w:rFonts w:ascii="Arial Narrow" w:hAnsi="Arial Narrow"/>
        </w:rPr>
        <w:t xml:space="preserve">Asimismo, debe establecerse como objetivo la transformación de las salinas industriales de Marismas del Odiel en salinas tradicionales y marismas funcionales, en consonancia con el Plan Rector de Uso y Gestión del Paraje Natural, la Red Natura 2000 y los criterios de conservación y desarrollo sostenible de la Reserva de la Biosfera. </w:t>
      </w:r>
    </w:p>
    <w:p w14:paraId="717F2932" w14:textId="77777777" w:rsidR="00DC5ECD" w:rsidRPr="00A11678" w:rsidRDefault="00DC5ECD" w:rsidP="00DC5ECD">
      <w:pPr>
        <w:spacing w:after="0" w:line="240" w:lineRule="auto"/>
        <w:ind w:left="-426" w:right="-994"/>
        <w:jc w:val="both"/>
        <w:rPr>
          <w:rFonts w:ascii="Arial Narrow" w:hAnsi="Arial Narrow"/>
        </w:rPr>
      </w:pPr>
    </w:p>
    <w:p w14:paraId="365C623E" w14:textId="77777777" w:rsidR="00DC5ECD" w:rsidRPr="00A11678" w:rsidRDefault="00DC5ECD" w:rsidP="00DC5ECD">
      <w:pPr>
        <w:spacing w:after="0" w:line="240" w:lineRule="auto"/>
        <w:ind w:left="-426" w:right="-994"/>
        <w:jc w:val="both"/>
        <w:rPr>
          <w:rFonts w:ascii="Arial Narrow" w:hAnsi="Arial Narrow"/>
          <w:b/>
          <w:bCs/>
        </w:rPr>
      </w:pPr>
      <w:r w:rsidRPr="00A11678">
        <w:rPr>
          <w:rFonts w:ascii="Arial Narrow" w:hAnsi="Arial Narrow"/>
          <w:b/>
          <w:bCs/>
          <w:u w:val="single"/>
        </w:rPr>
        <w:t>QUINTA</w:t>
      </w:r>
      <w:r w:rsidRPr="00A11678">
        <w:rPr>
          <w:rFonts w:ascii="Arial Narrow" w:hAnsi="Arial Narrow"/>
          <w:b/>
          <w:bCs/>
        </w:rPr>
        <w:t>. Necesidad de estudiar alternativas reales</w:t>
      </w:r>
    </w:p>
    <w:p w14:paraId="12391B94" w14:textId="7D5EC3A4" w:rsidR="00DC5ECD" w:rsidRPr="00A11678" w:rsidRDefault="00DC5ECD" w:rsidP="00DC5ECD">
      <w:pPr>
        <w:spacing w:after="0" w:line="240" w:lineRule="auto"/>
        <w:ind w:left="-426" w:right="-994"/>
        <w:jc w:val="both"/>
        <w:rPr>
          <w:rFonts w:ascii="Arial Narrow" w:hAnsi="Arial Narrow"/>
        </w:rPr>
      </w:pPr>
      <w:r w:rsidRPr="00A11678">
        <w:rPr>
          <w:rFonts w:ascii="Arial Narrow" w:hAnsi="Arial Narrow"/>
        </w:rPr>
        <w:t>El Documento Inicial Estratégico debe comparar una alternativa completa basada en:</w:t>
      </w:r>
      <w:r w:rsidR="00462DC5" w:rsidRPr="00A11678">
        <w:rPr>
          <w:rFonts w:ascii="Arial Narrow" w:hAnsi="Arial Narrow"/>
        </w:rPr>
        <w:t xml:space="preserve"> </w:t>
      </w:r>
      <w:r w:rsidRPr="00A11678">
        <w:rPr>
          <w:rFonts w:ascii="Arial Narrow" w:hAnsi="Arial Narrow"/>
        </w:rPr>
        <w:t>la recuperación de Punta del Sebo;</w:t>
      </w:r>
      <w:r w:rsidR="00462DC5" w:rsidRPr="00A11678">
        <w:rPr>
          <w:rFonts w:ascii="Arial Narrow" w:hAnsi="Arial Narrow"/>
        </w:rPr>
        <w:t xml:space="preserve"> </w:t>
      </w:r>
      <w:r w:rsidRPr="00A11678">
        <w:rPr>
          <w:rFonts w:ascii="Arial Narrow" w:hAnsi="Arial Narrow"/>
        </w:rPr>
        <w:t>la regeneración integral de Marismas del Pinar</w:t>
      </w:r>
      <w:r w:rsidR="00462DC5" w:rsidRPr="00A11678">
        <w:rPr>
          <w:rFonts w:ascii="Arial Narrow" w:hAnsi="Arial Narrow"/>
        </w:rPr>
        <w:t xml:space="preserve"> con la eliminación de fosfoyesos y otros re</w:t>
      </w:r>
      <w:r w:rsidR="00962F77" w:rsidRPr="00A11678">
        <w:rPr>
          <w:rFonts w:ascii="Arial Narrow" w:hAnsi="Arial Narrow"/>
        </w:rPr>
        <w:t>s</w:t>
      </w:r>
      <w:r w:rsidR="00462DC5" w:rsidRPr="00A11678">
        <w:rPr>
          <w:rFonts w:ascii="Arial Narrow" w:hAnsi="Arial Narrow"/>
        </w:rPr>
        <w:t>iduos industriales</w:t>
      </w:r>
      <w:r w:rsidRPr="00A11678">
        <w:rPr>
          <w:rFonts w:ascii="Arial Narrow" w:hAnsi="Arial Narrow"/>
        </w:rPr>
        <w:t>;</w:t>
      </w:r>
      <w:r w:rsidR="00462DC5" w:rsidRPr="00A11678">
        <w:rPr>
          <w:rFonts w:ascii="Arial Narrow" w:hAnsi="Arial Narrow"/>
        </w:rPr>
        <w:t xml:space="preserve"> </w:t>
      </w:r>
      <w:r w:rsidRPr="00A11678">
        <w:rPr>
          <w:rFonts w:ascii="Arial Narrow" w:hAnsi="Arial Narrow"/>
        </w:rPr>
        <w:t xml:space="preserve">la eliminación del crecimiento residencial de </w:t>
      </w:r>
      <w:proofErr w:type="spellStart"/>
      <w:r w:rsidRPr="00A11678">
        <w:rPr>
          <w:rFonts w:ascii="Arial Narrow" w:hAnsi="Arial Narrow"/>
        </w:rPr>
        <w:t>Montija</w:t>
      </w:r>
      <w:proofErr w:type="spellEnd"/>
      <w:r w:rsidRPr="00A11678">
        <w:rPr>
          <w:rFonts w:ascii="Arial Narrow" w:hAnsi="Arial Narrow"/>
        </w:rPr>
        <w:t>;</w:t>
      </w:r>
      <w:r w:rsidR="00462DC5" w:rsidRPr="00A11678">
        <w:rPr>
          <w:rFonts w:ascii="Arial Narrow" w:hAnsi="Arial Narrow"/>
        </w:rPr>
        <w:t xml:space="preserve"> </w:t>
      </w:r>
      <w:r w:rsidRPr="00A11678">
        <w:rPr>
          <w:rFonts w:ascii="Arial Narrow" w:hAnsi="Arial Narrow"/>
        </w:rPr>
        <w:t>la consolidación de la ciudad dentro de la H-30;</w:t>
      </w:r>
      <w:r w:rsidR="00462DC5" w:rsidRPr="00A11678">
        <w:rPr>
          <w:rFonts w:ascii="Arial Narrow" w:hAnsi="Arial Narrow"/>
        </w:rPr>
        <w:t xml:space="preserve"> </w:t>
      </w:r>
      <w:r w:rsidRPr="00A11678">
        <w:rPr>
          <w:rFonts w:ascii="Arial Narrow" w:hAnsi="Arial Narrow"/>
        </w:rPr>
        <w:t>y el cierre efectivo del anillo verde</w:t>
      </w:r>
      <w:r w:rsidR="00962F77" w:rsidRPr="00A11678">
        <w:rPr>
          <w:rFonts w:ascii="Arial Narrow" w:hAnsi="Arial Narrow"/>
        </w:rPr>
        <w:t>, con la recuperación integral de las marismas del Tinto</w:t>
      </w:r>
      <w:r w:rsidRPr="00A11678">
        <w:rPr>
          <w:rFonts w:ascii="Arial Narrow" w:hAnsi="Arial Narrow"/>
        </w:rPr>
        <w:t>.</w:t>
      </w:r>
    </w:p>
    <w:p w14:paraId="40A80F4D" w14:textId="77777777" w:rsidR="00DC5ECD" w:rsidRPr="00A11678" w:rsidRDefault="00DC5ECD" w:rsidP="00DC5ECD">
      <w:pPr>
        <w:spacing w:after="0" w:line="240" w:lineRule="auto"/>
        <w:ind w:left="-426" w:right="-994"/>
        <w:jc w:val="both"/>
        <w:rPr>
          <w:rFonts w:ascii="Arial Narrow" w:hAnsi="Arial Narrow"/>
        </w:rPr>
      </w:pPr>
      <w:r w:rsidRPr="00A11678">
        <w:rPr>
          <w:rFonts w:ascii="Arial Narrow" w:hAnsi="Arial Narrow"/>
        </w:rPr>
        <w:t>No puede considerarse suficientemente evaluado el modelo del PGOM si no se compara con esta alternativa, ampliamente defendida por la ciudadanía y por organizaciones sociales durante décadas.</w:t>
      </w:r>
    </w:p>
    <w:p w14:paraId="0A5FC62E" w14:textId="77777777" w:rsidR="00DC5ECD" w:rsidRPr="00A11678" w:rsidRDefault="00DC5ECD" w:rsidP="00DC5ECD">
      <w:pPr>
        <w:spacing w:after="0" w:line="240" w:lineRule="auto"/>
        <w:ind w:left="-426" w:right="-994"/>
        <w:jc w:val="both"/>
        <w:rPr>
          <w:rFonts w:ascii="Arial Narrow" w:hAnsi="Arial Narrow"/>
        </w:rPr>
      </w:pPr>
    </w:p>
    <w:p w14:paraId="174297F3" w14:textId="77777777" w:rsidR="00DC5ECD" w:rsidRPr="00A11678" w:rsidRDefault="00DC5ECD" w:rsidP="00DC5ECD">
      <w:pPr>
        <w:spacing w:after="0" w:line="240" w:lineRule="auto"/>
        <w:ind w:left="-426" w:right="-994"/>
        <w:jc w:val="both"/>
        <w:rPr>
          <w:rFonts w:ascii="Arial Narrow" w:hAnsi="Arial Narrow"/>
          <w:b/>
          <w:bCs/>
        </w:rPr>
      </w:pPr>
      <w:r w:rsidRPr="00A11678">
        <w:rPr>
          <w:rFonts w:ascii="Arial Narrow" w:hAnsi="Arial Narrow"/>
          <w:b/>
          <w:bCs/>
          <w:u w:val="single"/>
        </w:rPr>
        <w:t>SEXTA.</w:t>
      </w:r>
      <w:r w:rsidRPr="00A11678">
        <w:rPr>
          <w:rFonts w:ascii="Arial Narrow" w:hAnsi="Arial Narrow"/>
          <w:b/>
          <w:bCs/>
        </w:rPr>
        <w:t xml:space="preserve"> Necesidad de un proceso de participación específico para el PGOM</w:t>
      </w:r>
    </w:p>
    <w:p w14:paraId="5B2160A6" w14:textId="2B50A701" w:rsidR="00DC5ECD" w:rsidRPr="00A11678" w:rsidRDefault="00DC5ECD" w:rsidP="00962F77">
      <w:pPr>
        <w:spacing w:after="0" w:line="240" w:lineRule="auto"/>
        <w:ind w:left="-426" w:right="-994" w:firstLine="1134"/>
        <w:jc w:val="both"/>
        <w:rPr>
          <w:rFonts w:ascii="Arial Narrow" w:hAnsi="Arial Narrow"/>
        </w:rPr>
      </w:pPr>
      <w:r w:rsidRPr="00A11678">
        <w:rPr>
          <w:rFonts w:ascii="Arial Narrow" w:hAnsi="Arial Narrow"/>
        </w:rPr>
        <w:t>La participación desarrollada en 2020 y 2021 se refería expresamente al Avance de la revisión del PGOU, tramitado bajo la legislación urbanística anterior, y no al actual PGOM regulado por la</w:t>
      </w:r>
      <w:r w:rsidR="00962F77" w:rsidRPr="00A11678">
        <w:rPr>
          <w:rFonts w:ascii="Arial Narrow" w:hAnsi="Arial Narrow"/>
        </w:rPr>
        <w:t xml:space="preserve"> Ley</w:t>
      </w:r>
      <w:r w:rsidRPr="00A11678">
        <w:rPr>
          <w:rFonts w:ascii="Arial Narrow" w:hAnsi="Arial Narrow"/>
        </w:rPr>
        <w:t xml:space="preserve"> LISTA, que es un instrumento diferente por su contenido, alcance estratégico, alternativas y procedimiento ambiental.</w:t>
      </w:r>
    </w:p>
    <w:p w14:paraId="628E4E14" w14:textId="77777777" w:rsidR="00DC5ECD" w:rsidRPr="00A11678" w:rsidRDefault="00DC5ECD" w:rsidP="00962F77">
      <w:pPr>
        <w:spacing w:after="0" w:line="240" w:lineRule="auto"/>
        <w:ind w:left="-426" w:right="-994" w:firstLine="1134"/>
        <w:jc w:val="both"/>
        <w:rPr>
          <w:rFonts w:ascii="Arial Narrow" w:hAnsi="Arial Narrow"/>
        </w:rPr>
      </w:pPr>
      <w:r w:rsidRPr="00A11678">
        <w:rPr>
          <w:rFonts w:ascii="Arial Narrow" w:hAnsi="Arial Narrow"/>
        </w:rPr>
        <w:t>Aquellas aportaciones deben conservarse y valorarse como antecedentes, pero no pueden sustituir la participación propia del nuevo PGOM. Por ello, además de la presente consulta pública, debe abrirse o reiniciarse, antes de su aprobación inicial, un proceso de participación ciudadana específico, real y diferenciado, con información accesible, reuniones y debates públicos y respuesta expresa a las propuestas formuladas.</w:t>
      </w:r>
    </w:p>
    <w:p w14:paraId="6E17A7F1" w14:textId="77777777" w:rsidR="00DC5ECD" w:rsidRPr="00A11678" w:rsidRDefault="00DC5ECD" w:rsidP="00E67CBD">
      <w:pPr>
        <w:spacing w:after="0" w:line="240" w:lineRule="auto"/>
        <w:ind w:left="-426" w:right="-994" w:firstLine="1134"/>
        <w:jc w:val="both"/>
        <w:rPr>
          <w:rFonts w:ascii="Arial Narrow" w:hAnsi="Arial Narrow"/>
        </w:rPr>
      </w:pPr>
      <w:r w:rsidRPr="00A11678">
        <w:rPr>
          <w:rFonts w:ascii="Arial Narrow" w:hAnsi="Arial Narrow"/>
        </w:rPr>
        <w:t>El resultado deberá incorporarse a una nueva Memoria de Participación que explique qué propuestas se aceptan, cuáles se rechazan y cómo han influido en la ordenación finalmente elegida.</w:t>
      </w:r>
    </w:p>
    <w:p w14:paraId="1C92C4DC" w14:textId="77777777" w:rsidR="00DC5ECD" w:rsidRPr="00A11678" w:rsidRDefault="00DC5ECD" w:rsidP="00DC5ECD">
      <w:pPr>
        <w:spacing w:after="0" w:line="240" w:lineRule="auto"/>
        <w:ind w:left="-426" w:right="-994"/>
        <w:jc w:val="both"/>
        <w:rPr>
          <w:rFonts w:ascii="Arial Narrow" w:hAnsi="Arial Narrow"/>
        </w:rPr>
      </w:pPr>
    </w:p>
    <w:p w14:paraId="4596EC96" w14:textId="77777777" w:rsidR="00DC5ECD" w:rsidRPr="00A11678" w:rsidRDefault="00DC5ECD" w:rsidP="00E67CBD">
      <w:pPr>
        <w:spacing w:after="0" w:line="240" w:lineRule="auto"/>
        <w:ind w:left="-426" w:right="-994"/>
        <w:jc w:val="center"/>
        <w:rPr>
          <w:rFonts w:ascii="Arial Narrow" w:hAnsi="Arial Narrow"/>
          <w:b/>
          <w:bCs/>
        </w:rPr>
      </w:pPr>
      <w:r w:rsidRPr="00A11678">
        <w:rPr>
          <w:rFonts w:ascii="Arial Narrow" w:hAnsi="Arial Narrow"/>
          <w:b/>
          <w:bCs/>
        </w:rPr>
        <w:t>SOLICITA</w:t>
      </w:r>
    </w:p>
    <w:p w14:paraId="239B101E" w14:textId="77777777" w:rsidR="00835886" w:rsidRPr="00A11678" w:rsidRDefault="00835886" w:rsidP="00E67CBD">
      <w:pPr>
        <w:spacing w:after="0" w:line="240" w:lineRule="auto"/>
        <w:ind w:left="-426" w:right="-994"/>
        <w:jc w:val="center"/>
        <w:rPr>
          <w:rFonts w:ascii="Arial Narrow" w:hAnsi="Arial Narrow"/>
          <w:b/>
          <w:bCs/>
        </w:rPr>
      </w:pPr>
    </w:p>
    <w:p w14:paraId="63022731" w14:textId="3905DF9E" w:rsidR="00240E9A" w:rsidRPr="00A11678" w:rsidRDefault="00BE1C20" w:rsidP="00DC5ECD">
      <w:pPr>
        <w:spacing w:after="0" w:line="240" w:lineRule="auto"/>
        <w:ind w:left="-426" w:right="-994"/>
        <w:jc w:val="both"/>
        <w:rPr>
          <w:rFonts w:ascii="Arial Narrow" w:hAnsi="Arial Narrow"/>
        </w:rPr>
      </w:pPr>
      <w:r w:rsidRPr="00A11678">
        <w:rPr>
          <w:rFonts w:ascii="Arial Narrow" w:hAnsi="Arial Narrow"/>
          <w:b/>
          <w:bCs/>
        </w:rPr>
        <w:t xml:space="preserve">Primero: </w:t>
      </w:r>
      <w:r w:rsidR="00835886" w:rsidRPr="00A11678">
        <w:rPr>
          <w:rFonts w:ascii="Arial Narrow" w:hAnsi="Arial Narrow"/>
          <w:b/>
          <w:bCs/>
        </w:rPr>
        <w:tab/>
        <w:t xml:space="preserve"> </w:t>
      </w:r>
      <w:r w:rsidR="00DC5ECD" w:rsidRPr="00A11678">
        <w:rPr>
          <w:rFonts w:ascii="Arial Narrow" w:hAnsi="Arial Narrow"/>
        </w:rPr>
        <w:t xml:space="preserve">Que se tengan por presentadas </w:t>
      </w:r>
      <w:r w:rsidRPr="00A11678">
        <w:rPr>
          <w:rFonts w:ascii="Arial Narrow" w:hAnsi="Arial Narrow"/>
        </w:rPr>
        <w:t xml:space="preserve">y aceptadas </w:t>
      </w:r>
      <w:r w:rsidR="00DC5ECD" w:rsidRPr="00A11678">
        <w:rPr>
          <w:rFonts w:ascii="Arial Narrow" w:hAnsi="Arial Narrow"/>
        </w:rPr>
        <w:t>estas alegaciones</w:t>
      </w:r>
      <w:r w:rsidR="00240E9A" w:rsidRPr="00A11678">
        <w:rPr>
          <w:rFonts w:ascii="Arial Narrow" w:hAnsi="Arial Narrow"/>
        </w:rPr>
        <w:t xml:space="preserve">, </w:t>
      </w:r>
    </w:p>
    <w:p w14:paraId="1A29CD5D" w14:textId="7B479667" w:rsidR="00240E9A" w:rsidRPr="00A11678" w:rsidRDefault="00BE1C20" w:rsidP="00DC5ECD">
      <w:pPr>
        <w:spacing w:after="0" w:line="240" w:lineRule="auto"/>
        <w:ind w:left="-426" w:right="-994"/>
        <w:jc w:val="both"/>
        <w:rPr>
          <w:rFonts w:ascii="Arial Narrow" w:hAnsi="Arial Narrow"/>
        </w:rPr>
      </w:pPr>
      <w:r w:rsidRPr="00A11678">
        <w:rPr>
          <w:rFonts w:ascii="Arial Narrow" w:hAnsi="Arial Narrow"/>
          <w:b/>
          <w:bCs/>
        </w:rPr>
        <w:t>Segundo</w:t>
      </w:r>
      <w:r w:rsidR="00240E9A" w:rsidRPr="00A11678">
        <w:rPr>
          <w:rFonts w:ascii="Arial Narrow" w:hAnsi="Arial Narrow"/>
          <w:b/>
          <w:bCs/>
        </w:rPr>
        <w:t>:</w:t>
      </w:r>
      <w:r w:rsidR="00835886" w:rsidRPr="00A11678">
        <w:rPr>
          <w:rFonts w:ascii="Arial Narrow" w:hAnsi="Arial Narrow"/>
          <w:b/>
          <w:bCs/>
        </w:rPr>
        <w:tab/>
      </w:r>
      <w:r w:rsidR="00240E9A" w:rsidRPr="00A11678">
        <w:rPr>
          <w:rFonts w:ascii="Arial Narrow" w:hAnsi="Arial Narrow"/>
        </w:rPr>
        <w:t xml:space="preserve"> Que se abra o reinicie un proceso de participación ciudadana específico para el PGOM, diferenciado del realizado para el avance del PGOU, antes de su aprobación inicial, e incorporar sus resultados a una nueva Memoria de Participación con respuesta expresa y motivada</w:t>
      </w:r>
      <w:r w:rsidR="00DC5ECD" w:rsidRPr="00A11678">
        <w:rPr>
          <w:rFonts w:ascii="Arial Narrow" w:hAnsi="Arial Narrow"/>
        </w:rPr>
        <w:t xml:space="preserve"> </w:t>
      </w:r>
    </w:p>
    <w:p w14:paraId="6298335D" w14:textId="5DBE4DB0" w:rsidR="00DC5ECD" w:rsidRPr="00A11678" w:rsidRDefault="00BE1C20" w:rsidP="00DC5ECD">
      <w:pPr>
        <w:spacing w:after="0" w:line="240" w:lineRule="auto"/>
        <w:ind w:left="-426" w:right="-994"/>
        <w:jc w:val="both"/>
        <w:rPr>
          <w:rFonts w:ascii="Arial Narrow" w:hAnsi="Arial Narrow"/>
        </w:rPr>
      </w:pPr>
      <w:r w:rsidRPr="00A11678">
        <w:rPr>
          <w:rFonts w:ascii="Arial Narrow" w:hAnsi="Arial Narrow"/>
          <w:b/>
          <w:bCs/>
        </w:rPr>
        <w:t>Tercero</w:t>
      </w:r>
      <w:r w:rsidR="00240E9A" w:rsidRPr="00A11678">
        <w:rPr>
          <w:rFonts w:ascii="Arial Narrow" w:hAnsi="Arial Narrow"/>
          <w:b/>
          <w:bCs/>
        </w:rPr>
        <w:t>:</w:t>
      </w:r>
      <w:r w:rsidR="00240E9A" w:rsidRPr="00A11678">
        <w:rPr>
          <w:rFonts w:ascii="Arial Narrow" w:hAnsi="Arial Narrow"/>
        </w:rPr>
        <w:t xml:space="preserve"> </w:t>
      </w:r>
      <w:r w:rsidR="00835886" w:rsidRPr="00A11678">
        <w:rPr>
          <w:rFonts w:ascii="Arial Narrow" w:hAnsi="Arial Narrow"/>
        </w:rPr>
        <w:tab/>
      </w:r>
      <w:r w:rsidR="00240E9A" w:rsidRPr="00A11678">
        <w:rPr>
          <w:rFonts w:ascii="Arial Narrow" w:hAnsi="Arial Narrow"/>
        </w:rPr>
        <w:t>Q</w:t>
      </w:r>
      <w:r w:rsidR="00DC5ECD" w:rsidRPr="00A11678">
        <w:rPr>
          <w:rFonts w:ascii="Arial Narrow" w:hAnsi="Arial Narrow"/>
        </w:rPr>
        <w:t>ue el Avance del PGOM y su Documento Inicial Estratégico sean modificados para:</w:t>
      </w:r>
      <w:r w:rsidR="00E67CBD" w:rsidRPr="00A11678">
        <w:rPr>
          <w:rFonts w:ascii="Arial Narrow" w:hAnsi="Arial Narrow"/>
        </w:rPr>
        <w:t xml:space="preserve"> </w:t>
      </w:r>
      <w:r w:rsidR="00DC5ECD" w:rsidRPr="00A11678">
        <w:rPr>
          <w:rFonts w:ascii="Arial Narrow" w:hAnsi="Arial Narrow"/>
        </w:rPr>
        <w:t>Recuperar progresivamente Punta del Sebo y la avenida Francisco Montenegro para la ciudad.</w:t>
      </w:r>
      <w:r w:rsidR="00E67CBD" w:rsidRPr="00A11678">
        <w:rPr>
          <w:rFonts w:ascii="Arial Narrow" w:hAnsi="Arial Narrow"/>
        </w:rPr>
        <w:t xml:space="preserve"> </w:t>
      </w:r>
      <w:r w:rsidR="00DC5ECD" w:rsidRPr="00A11678">
        <w:rPr>
          <w:rFonts w:ascii="Arial Narrow" w:hAnsi="Arial Narrow"/>
        </w:rPr>
        <w:t>Suprimir la ocupación fotovoltaica de Marismas del Pinar</w:t>
      </w:r>
      <w:r w:rsidR="00E67CBD" w:rsidRPr="00A11678">
        <w:rPr>
          <w:rFonts w:ascii="Arial Narrow" w:hAnsi="Arial Narrow"/>
        </w:rPr>
        <w:t xml:space="preserve">, mantener su condición de Sistema General de Espacios </w:t>
      </w:r>
      <w:proofErr w:type="spellStart"/>
      <w:r w:rsidR="00E67CBD" w:rsidRPr="00A11678">
        <w:rPr>
          <w:rFonts w:ascii="Arial Narrow" w:hAnsi="Arial Narrow"/>
        </w:rPr>
        <w:t>LIbres</w:t>
      </w:r>
      <w:proofErr w:type="spellEnd"/>
      <w:r w:rsidR="00DC5ECD" w:rsidRPr="00A11678">
        <w:rPr>
          <w:rFonts w:ascii="Arial Narrow" w:hAnsi="Arial Narrow"/>
        </w:rPr>
        <w:t xml:space="preserve"> y ordenar su recuperación ambiental integral.</w:t>
      </w:r>
      <w:r w:rsidR="00835886" w:rsidRPr="00A11678">
        <w:rPr>
          <w:rFonts w:ascii="Arial Narrow" w:hAnsi="Arial Narrow"/>
        </w:rPr>
        <w:t xml:space="preserve"> </w:t>
      </w:r>
      <w:r w:rsidR="00DC5ECD" w:rsidRPr="00A11678">
        <w:rPr>
          <w:rFonts w:ascii="Arial Narrow" w:hAnsi="Arial Narrow"/>
        </w:rPr>
        <w:t>Eliminar el crecimiento residencial de San Antonio de Montija.</w:t>
      </w:r>
      <w:r w:rsidR="00E67CBD" w:rsidRPr="00A11678">
        <w:rPr>
          <w:rFonts w:ascii="Arial Narrow" w:hAnsi="Arial Narrow"/>
        </w:rPr>
        <w:t xml:space="preserve"> </w:t>
      </w:r>
      <w:r w:rsidR="00DC5ECD" w:rsidRPr="00A11678">
        <w:rPr>
          <w:rFonts w:ascii="Arial Narrow" w:hAnsi="Arial Narrow"/>
        </w:rPr>
        <w:t>Completar el anillo verde mediante la conexión de Punta del Sebo, Marismas del Pinar, el Tinto y Marismas del Odiel.</w:t>
      </w:r>
      <w:r w:rsidR="00E67CBD" w:rsidRPr="00A11678">
        <w:rPr>
          <w:rFonts w:ascii="Arial Narrow" w:hAnsi="Arial Narrow"/>
        </w:rPr>
        <w:t xml:space="preserve"> </w:t>
      </w:r>
      <w:r w:rsidR="00DC5ECD" w:rsidRPr="00A11678">
        <w:rPr>
          <w:rFonts w:ascii="Arial Narrow" w:hAnsi="Arial Narrow"/>
        </w:rPr>
        <w:t>Impulsar la recuperación de las salinas industriales como salinas tradicionales y marismas funcionales.</w:t>
      </w:r>
      <w:r w:rsidR="00E67CBD" w:rsidRPr="00A11678">
        <w:rPr>
          <w:rFonts w:ascii="Arial Narrow" w:hAnsi="Arial Narrow"/>
        </w:rPr>
        <w:t xml:space="preserve"> </w:t>
      </w:r>
      <w:r w:rsidR="00DC5ECD" w:rsidRPr="00A11678">
        <w:rPr>
          <w:rFonts w:ascii="Arial Narrow" w:hAnsi="Arial Narrow"/>
        </w:rPr>
        <w:t>Incorporar estas propuestas como una alternativa real dentro de la evaluación ambiental.</w:t>
      </w:r>
    </w:p>
    <w:p w14:paraId="03F7683B" w14:textId="77777777" w:rsidR="00DC5ECD" w:rsidRDefault="00DC5ECD" w:rsidP="00DC5ECD">
      <w:pPr>
        <w:spacing w:after="0" w:line="240" w:lineRule="auto"/>
        <w:ind w:left="-426" w:right="-994"/>
        <w:jc w:val="both"/>
        <w:rPr>
          <w:rFonts w:ascii="Arial Narrow" w:hAnsi="Arial Narrow"/>
        </w:rPr>
      </w:pPr>
    </w:p>
    <w:p w14:paraId="4566530F" w14:textId="65982E30" w:rsidR="00DC5ECD" w:rsidRPr="00A11678" w:rsidRDefault="00DC5ECD" w:rsidP="00BE1C20">
      <w:pPr>
        <w:spacing w:after="0" w:line="240" w:lineRule="auto"/>
        <w:ind w:left="1416" w:right="-994"/>
        <w:jc w:val="both"/>
        <w:rPr>
          <w:rFonts w:ascii="Arial Narrow" w:hAnsi="Arial Narrow"/>
        </w:rPr>
      </w:pPr>
      <w:r w:rsidRPr="00A11678">
        <w:rPr>
          <w:rFonts w:ascii="Arial Narrow" w:hAnsi="Arial Narrow"/>
        </w:rPr>
        <w:t xml:space="preserve">En Huelva, a </w:t>
      </w:r>
      <w:r w:rsidR="00E67CBD" w:rsidRPr="00A11678">
        <w:rPr>
          <w:rFonts w:ascii="Arial Narrow" w:hAnsi="Arial Narrow"/>
        </w:rPr>
        <w:t>___ de ______de 2026</w:t>
      </w:r>
      <w:r w:rsidRPr="00A11678">
        <w:rPr>
          <w:rFonts w:ascii="Arial Narrow" w:hAnsi="Arial Narrow"/>
        </w:rPr>
        <w:t>.</w:t>
      </w:r>
    </w:p>
    <w:p w14:paraId="185838CF" w14:textId="77777777" w:rsidR="00A11678" w:rsidRDefault="00A11678" w:rsidP="00BE1C20">
      <w:pPr>
        <w:spacing w:after="0" w:line="240" w:lineRule="auto"/>
        <w:ind w:left="1416" w:right="-994"/>
        <w:jc w:val="both"/>
        <w:rPr>
          <w:rFonts w:ascii="Arial Narrow" w:hAnsi="Arial Narrow"/>
        </w:rPr>
      </w:pPr>
    </w:p>
    <w:p w14:paraId="5E2FD714" w14:textId="47EADE1F" w:rsidR="00465483" w:rsidRPr="00A11678" w:rsidRDefault="00DC5ECD" w:rsidP="00BE1C20">
      <w:pPr>
        <w:spacing w:after="0" w:line="240" w:lineRule="auto"/>
        <w:ind w:left="1416" w:right="-994"/>
        <w:jc w:val="both"/>
        <w:rPr>
          <w:rFonts w:ascii="Arial Narrow" w:hAnsi="Arial Narrow"/>
        </w:rPr>
      </w:pPr>
      <w:r w:rsidRPr="00A11678">
        <w:rPr>
          <w:rFonts w:ascii="Arial Narrow" w:hAnsi="Arial Narrow"/>
        </w:rPr>
        <w:t>Firma:</w:t>
      </w:r>
      <w:r w:rsidR="00E67CBD" w:rsidRPr="00A11678">
        <w:rPr>
          <w:rFonts w:ascii="Arial Narrow" w:hAnsi="Arial Narrow"/>
        </w:rPr>
        <w:t xml:space="preserve"> D/</w:t>
      </w:r>
      <w:proofErr w:type="spellStart"/>
      <w:r w:rsidR="00E67CBD" w:rsidRPr="00A11678">
        <w:rPr>
          <w:rFonts w:ascii="Arial Narrow" w:hAnsi="Arial Narrow"/>
        </w:rPr>
        <w:t>Dña</w:t>
      </w:r>
      <w:proofErr w:type="spellEnd"/>
      <w:r w:rsidR="00E67CBD" w:rsidRPr="00A11678">
        <w:rPr>
          <w:rFonts w:ascii="Arial Narrow" w:hAnsi="Arial Narrow"/>
        </w:rPr>
        <w:t xml:space="preserve"> ________________________________________</w:t>
      </w:r>
    </w:p>
    <w:sectPr w:rsidR="00465483" w:rsidRPr="00A11678" w:rsidSect="00DC5E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2D842" w14:textId="77777777" w:rsidR="00EA2DF0" w:rsidRDefault="00EA2DF0" w:rsidP="00240E9A">
      <w:pPr>
        <w:spacing w:after="0" w:line="240" w:lineRule="auto"/>
      </w:pPr>
      <w:r>
        <w:separator/>
      </w:r>
    </w:p>
  </w:endnote>
  <w:endnote w:type="continuationSeparator" w:id="0">
    <w:p w14:paraId="75635505" w14:textId="77777777" w:rsidR="00EA2DF0" w:rsidRDefault="00EA2DF0" w:rsidP="00240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511B2" w14:textId="77777777" w:rsidR="00EA2DF0" w:rsidRDefault="00EA2DF0" w:rsidP="00240E9A">
      <w:pPr>
        <w:spacing w:after="0" w:line="240" w:lineRule="auto"/>
      </w:pPr>
      <w:r>
        <w:separator/>
      </w:r>
    </w:p>
  </w:footnote>
  <w:footnote w:type="continuationSeparator" w:id="0">
    <w:p w14:paraId="3CD77241" w14:textId="77777777" w:rsidR="00EA2DF0" w:rsidRDefault="00EA2DF0" w:rsidP="00240E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B5D"/>
    <w:rsid w:val="00135F1A"/>
    <w:rsid w:val="00240E9A"/>
    <w:rsid w:val="00462DC5"/>
    <w:rsid w:val="00465483"/>
    <w:rsid w:val="005A7B5D"/>
    <w:rsid w:val="00835886"/>
    <w:rsid w:val="00962F77"/>
    <w:rsid w:val="00A11678"/>
    <w:rsid w:val="00A52E5B"/>
    <w:rsid w:val="00BE1C20"/>
    <w:rsid w:val="00C06CA7"/>
    <w:rsid w:val="00D80830"/>
    <w:rsid w:val="00DC5ECD"/>
    <w:rsid w:val="00E02B9A"/>
    <w:rsid w:val="00E67CBD"/>
    <w:rsid w:val="00EA2DF0"/>
    <w:rsid w:val="00FD1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D94B6"/>
  <w15:chartTrackingRefBased/>
  <w15:docId w15:val="{ACF81961-8F04-41A7-9C9D-38660C735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7B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7B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7B5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7B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7B5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7B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7B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7B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7B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7B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7B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7B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7B5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7B5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7B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7B5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7B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7B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7B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7B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7B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7B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7B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7B5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7B5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7B5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7B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7B5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7B5D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40E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40E9A"/>
  </w:style>
  <w:style w:type="paragraph" w:styleId="Piedepgina">
    <w:name w:val="footer"/>
    <w:basedOn w:val="Normal"/>
    <w:link w:val="PiedepginaCar"/>
    <w:uiPriority w:val="99"/>
    <w:unhideWhenUsed/>
    <w:rsid w:val="00240E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40E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1308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 Buendía Ruiz de Castroviejo</dc:creator>
  <cp:keywords/>
  <dc:description/>
  <cp:lastModifiedBy>Juan Manuel Buendía Ruiz de Castroviejo</cp:lastModifiedBy>
  <cp:revision>5</cp:revision>
  <dcterms:created xsi:type="dcterms:W3CDTF">2026-07-14T15:39:00Z</dcterms:created>
  <dcterms:modified xsi:type="dcterms:W3CDTF">2026-07-14T16:54:00Z</dcterms:modified>
</cp:coreProperties>
</file>